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0E356" w14:textId="3F538CB4" w:rsidR="00D61370" w:rsidRPr="00B316A9" w:rsidRDefault="00166399">
      <w:pPr>
        <w:rPr>
          <w:sz w:val="32"/>
        </w:rPr>
      </w:pPr>
      <w:r>
        <w:rPr>
          <w:sz w:val="32"/>
        </w:rPr>
        <w:t xml:space="preserve">Opening HHK-organistendag 2014: </w:t>
      </w:r>
      <w:bookmarkStart w:id="0" w:name="_GoBack"/>
      <w:bookmarkEnd w:id="0"/>
      <w:r w:rsidR="003E1788" w:rsidRPr="00B316A9">
        <w:rPr>
          <w:sz w:val="32"/>
        </w:rPr>
        <w:t>Met al de heiligen</w:t>
      </w:r>
    </w:p>
    <w:p w14:paraId="2CE5A47D" w14:textId="77777777" w:rsidR="00166399" w:rsidRDefault="00166399" w:rsidP="00166399">
      <w:pPr>
        <w:spacing w:line="288" w:lineRule="auto"/>
        <w:jc w:val="both"/>
        <w:rPr>
          <w:rFonts w:ascii="Calibri" w:hAnsi="Calibri"/>
        </w:rPr>
      </w:pPr>
      <w:r>
        <w:rPr>
          <w:rFonts w:ascii="Calibri" w:hAnsi="Calibri"/>
        </w:rPr>
        <w:t>Dr. P.C. Hoek (docent Praktische Theologie aan het Hersteld Hervormd Seminarie)</w:t>
      </w:r>
    </w:p>
    <w:p w14:paraId="353E16EF" w14:textId="77777777" w:rsidR="003E1788" w:rsidRDefault="003E1788"/>
    <w:p w14:paraId="2A02AD9C" w14:textId="77777777" w:rsidR="003E1788" w:rsidRPr="00B316A9" w:rsidRDefault="003E1788" w:rsidP="003E1788">
      <w:pPr>
        <w:pStyle w:val="Lijstalinea"/>
        <w:numPr>
          <w:ilvl w:val="0"/>
          <w:numId w:val="1"/>
        </w:numPr>
        <w:rPr>
          <w:sz w:val="24"/>
        </w:rPr>
      </w:pPr>
      <w:r w:rsidRPr="00B316A9">
        <w:rPr>
          <w:sz w:val="24"/>
        </w:rPr>
        <w:t>Welkom</w:t>
      </w:r>
    </w:p>
    <w:p w14:paraId="43CB0AE5" w14:textId="77777777" w:rsidR="003E1788" w:rsidRPr="00B316A9" w:rsidRDefault="003E1788" w:rsidP="003E1788">
      <w:pPr>
        <w:pStyle w:val="Lijstalinea"/>
        <w:numPr>
          <w:ilvl w:val="0"/>
          <w:numId w:val="1"/>
        </w:numPr>
        <w:rPr>
          <w:sz w:val="24"/>
        </w:rPr>
      </w:pPr>
      <w:r w:rsidRPr="00B316A9">
        <w:rPr>
          <w:sz w:val="24"/>
        </w:rPr>
        <w:t>Zingen:</w:t>
      </w:r>
      <w:r w:rsidR="00B316A9">
        <w:rPr>
          <w:sz w:val="24"/>
        </w:rPr>
        <w:t xml:space="preserve"> Psalm 65 : 1 en 3</w:t>
      </w:r>
    </w:p>
    <w:p w14:paraId="5F6DC922" w14:textId="77777777" w:rsidR="003E1788" w:rsidRPr="00B316A9" w:rsidRDefault="003E1788" w:rsidP="003E1788">
      <w:pPr>
        <w:pStyle w:val="Lijstalinea"/>
        <w:numPr>
          <w:ilvl w:val="0"/>
          <w:numId w:val="1"/>
        </w:numPr>
        <w:rPr>
          <w:sz w:val="24"/>
        </w:rPr>
      </w:pPr>
      <w:r w:rsidRPr="00B316A9">
        <w:rPr>
          <w:sz w:val="24"/>
        </w:rPr>
        <w:t>Gebed</w:t>
      </w:r>
    </w:p>
    <w:p w14:paraId="11CA044E" w14:textId="77777777" w:rsidR="003E1788" w:rsidRPr="00B316A9" w:rsidRDefault="003E1788" w:rsidP="003E1788">
      <w:pPr>
        <w:pStyle w:val="Lijstalinea"/>
        <w:numPr>
          <w:ilvl w:val="0"/>
          <w:numId w:val="1"/>
        </w:numPr>
        <w:rPr>
          <w:sz w:val="24"/>
        </w:rPr>
      </w:pPr>
      <w:r w:rsidRPr="00B316A9">
        <w:rPr>
          <w:sz w:val="24"/>
        </w:rPr>
        <w:t>Schriftlezing: Efeze 3,14-21</w:t>
      </w:r>
    </w:p>
    <w:p w14:paraId="0E13EDD8" w14:textId="77777777" w:rsidR="003E1788" w:rsidRPr="00B316A9" w:rsidRDefault="003E1788" w:rsidP="003E1788">
      <w:pPr>
        <w:rPr>
          <w:sz w:val="24"/>
        </w:rPr>
      </w:pPr>
    </w:p>
    <w:p w14:paraId="2D983237" w14:textId="77777777" w:rsidR="003E1788" w:rsidRPr="00B316A9" w:rsidRDefault="003E1788" w:rsidP="003E1788">
      <w:pPr>
        <w:rPr>
          <w:sz w:val="24"/>
        </w:rPr>
      </w:pPr>
      <w:r w:rsidRPr="00B316A9">
        <w:rPr>
          <w:sz w:val="24"/>
        </w:rPr>
        <w:t xml:space="preserve">Beste organisten, </w:t>
      </w:r>
    </w:p>
    <w:p w14:paraId="42CB2B0B" w14:textId="77777777" w:rsidR="003E1788" w:rsidRDefault="00B316A9" w:rsidP="003E1788">
      <w:pPr>
        <w:rPr>
          <w:sz w:val="24"/>
        </w:rPr>
      </w:pPr>
      <w:r w:rsidRPr="00B316A9">
        <w:rPr>
          <w:sz w:val="24"/>
        </w:rPr>
        <w:t>Het viel u misschien al op dat de titel van mijn ‘inleidende woord’ ontleend is aan het gedeelte, dat we zo-even samen hebben gelezen. Ik zeg met nadruk: ‘inleidend woord’. Verwacht u van mij geen lezing of iets dergelijks. Onze gewaardeerde gast heeft u ook al genoeg te vertellen zo dadelijk… Ik wil enkel een woord uit dit gebed onderstrepen en daar een liturgische toepassing bij maken.</w:t>
      </w:r>
      <w:r>
        <w:rPr>
          <w:sz w:val="24"/>
        </w:rPr>
        <w:t xml:space="preserve"> </w:t>
      </w:r>
    </w:p>
    <w:p w14:paraId="073F0E48" w14:textId="77777777" w:rsidR="00B316A9" w:rsidRDefault="00B316A9" w:rsidP="003E1788">
      <w:pPr>
        <w:rPr>
          <w:sz w:val="24"/>
        </w:rPr>
      </w:pPr>
      <w:r>
        <w:rPr>
          <w:sz w:val="24"/>
        </w:rPr>
        <w:t xml:space="preserve">Inderdaad, het is een gebed. Een gebed, door Paulus gebeden. En dat, voor de gemeente van Efeze. ‘Om deze oorzaak buig ik mijn knieën…’ </w:t>
      </w:r>
      <w:r w:rsidR="001F4673">
        <w:rPr>
          <w:sz w:val="24"/>
        </w:rPr>
        <w:t xml:space="preserve">U hebt gemerkt: de apostel bidt innig, vurig om versterking en verdieping van hun geloof. Het is zijn begeerte dat Christus door het geloof in hun harten zal wonen. En dat zij in de liefde </w:t>
      </w:r>
      <w:r w:rsidR="001F4673">
        <w:rPr>
          <w:i/>
          <w:sz w:val="24"/>
        </w:rPr>
        <w:t>geworteld en gegrond</w:t>
      </w:r>
      <w:r w:rsidR="001F4673">
        <w:rPr>
          <w:sz w:val="24"/>
        </w:rPr>
        <w:t xml:space="preserve"> zullen zijn. Meer en meer. Om zo er aan toe te komen de liefde van Christus ten volle te begrijpen. ‘Opdat gij ten volle zou kunnen begrijpen, welke de breedte, de lengte, de diepte en de hoogte is van die liefde</w:t>
      </w:r>
      <w:r w:rsidR="007F7186">
        <w:rPr>
          <w:sz w:val="24"/>
        </w:rPr>
        <w:t>, en van die wijsheid</w:t>
      </w:r>
      <w:r w:rsidR="001F4673">
        <w:rPr>
          <w:sz w:val="24"/>
        </w:rPr>
        <w:t>!’ U zegt: ‘Ja maar, dat kan toch nooit</w:t>
      </w:r>
      <w:r w:rsidR="007F7186">
        <w:rPr>
          <w:sz w:val="24"/>
        </w:rPr>
        <w:t>… Hoe zal een mens de liefde en de wijsheid van Christus ten volle verstaan?!</w:t>
      </w:r>
      <w:r w:rsidR="001F4673">
        <w:rPr>
          <w:sz w:val="24"/>
        </w:rPr>
        <w:t>’</w:t>
      </w:r>
      <w:r w:rsidR="007F7186">
        <w:rPr>
          <w:sz w:val="24"/>
        </w:rPr>
        <w:t xml:space="preserve"> Nee, dat is waar. In elk geval kan geen christen dat ooit </w:t>
      </w:r>
      <w:r w:rsidR="007F7186">
        <w:rPr>
          <w:i/>
          <w:sz w:val="24"/>
        </w:rPr>
        <w:t>alléén</w:t>
      </w:r>
      <w:r w:rsidR="007F7186">
        <w:rPr>
          <w:sz w:val="24"/>
        </w:rPr>
        <w:t xml:space="preserve">! Daarom staat er bij: ‘met al de heiligen’. </w:t>
      </w:r>
    </w:p>
    <w:p w14:paraId="191385FF" w14:textId="77777777" w:rsidR="007F7186" w:rsidRDefault="007F7186" w:rsidP="003E1788">
      <w:pPr>
        <w:rPr>
          <w:sz w:val="24"/>
        </w:rPr>
      </w:pPr>
      <w:r>
        <w:rPr>
          <w:sz w:val="24"/>
        </w:rPr>
        <w:t xml:space="preserve">Eenvoudig gezegd: alle christenen, van alle tijden en plaatsen, alle kinderen van God </w:t>
      </w:r>
      <w:r w:rsidRPr="0092405F">
        <w:rPr>
          <w:i/>
          <w:sz w:val="24"/>
        </w:rPr>
        <w:t>met</w:t>
      </w:r>
      <w:r>
        <w:rPr>
          <w:sz w:val="24"/>
        </w:rPr>
        <w:t xml:space="preserve"> </w:t>
      </w:r>
      <w:r w:rsidRPr="0092405F">
        <w:rPr>
          <w:i/>
          <w:sz w:val="24"/>
        </w:rPr>
        <w:t>elkaar</w:t>
      </w:r>
      <w:r>
        <w:rPr>
          <w:sz w:val="24"/>
        </w:rPr>
        <w:t xml:space="preserve"> bevatten de diepte, breedte, wijdte, hoogte van de liefde Gods in Christus. </w:t>
      </w:r>
      <w:r w:rsidR="0092405F">
        <w:rPr>
          <w:sz w:val="24"/>
        </w:rPr>
        <w:t xml:space="preserve">Zeker, dat nóg dan kunnen zij gezamenlijk nog niet de liefde van Christus in al haar dimensies doormeten. Hoe breed is die liefde? Tot aan de einden der aarde! Blank, bruin, Jood, heiden. Hoe lang is zij? Tot in eeuwigheid. Hoe diep? Tot </w:t>
      </w:r>
      <w:r w:rsidR="0092405F">
        <w:rPr>
          <w:i/>
          <w:sz w:val="24"/>
        </w:rPr>
        <w:t>onder</w:t>
      </w:r>
      <w:r w:rsidR="0092405F">
        <w:rPr>
          <w:sz w:val="24"/>
        </w:rPr>
        <w:t xml:space="preserve"> de diepst gevallen zondaar. Hoe hoog? Tot in de hemelen! </w:t>
      </w:r>
    </w:p>
    <w:p w14:paraId="1D085710" w14:textId="77777777" w:rsidR="006A4F58" w:rsidRDefault="0092405F" w:rsidP="003E1788">
      <w:pPr>
        <w:rPr>
          <w:sz w:val="24"/>
        </w:rPr>
      </w:pPr>
      <w:r>
        <w:rPr>
          <w:sz w:val="24"/>
        </w:rPr>
        <w:t xml:space="preserve">Daarom: </w:t>
      </w:r>
      <w:r w:rsidRPr="0092405F">
        <w:rPr>
          <w:i/>
          <w:sz w:val="24"/>
        </w:rPr>
        <w:t>bekennen</w:t>
      </w:r>
      <w:r>
        <w:rPr>
          <w:sz w:val="24"/>
        </w:rPr>
        <w:t xml:space="preserve"> de liefde van Christus? Met al de heiligen </w:t>
      </w:r>
      <w:r w:rsidRPr="0092405F">
        <w:rPr>
          <w:i/>
          <w:sz w:val="24"/>
        </w:rPr>
        <w:t>samen</w:t>
      </w:r>
      <w:r>
        <w:rPr>
          <w:sz w:val="24"/>
        </w:rPr>
        <w:t xml:space="preserve"> benaderen we haar </w:t>
      </w:r>
      <w:r w:rsidRPr="0092405F">
        <w:rPr>
          <w:i/>
          <w:sz w:val="24"/>
        </w:rPr>
        <w:t>enigszins</w:t>
      </w:r>
      <w:r>
        <w:rPr>
          <w:sz w:val="24"/>
        </w:rPr>
        <w:t xml:space="preserve">… Daarvoor zijn de heiligen op elkaar aangewezen. Hebben zij elkaars kennis en ervaringen nodig. De één heeft meer zicht dan de ander; de volgende dieper zicht, of intenser ervaring. Met al de heiligen. Die </w:t>
      </w:r>
      <w:r>
        <w:rPr>
          <w:i/>
          <w:sz w:val="24"/>
        </w:rPr>
        <w:t>gemeenschap</w:t>
      </w:r>
      <w:r>
        <w:rPr>
          <w:sz w:val="24"/>
        </w:rPr>
        <w:t xml:space="preserve"> duiden we wel als de </w:t>
      </w:r>
      <w:r>
        <w:rPr>
          <w:i/>
          <w:sz w:val="24"/>
        </w:rPr>
        <w:t>gemeenschap der heiligen</w:t>
      </w:r>
      <w:r>
        <w:rPr>
          <w:sz w:val="24"/>
        </w:rPr>
        <w:t xml:space="preserve">. Volgens de Catechismus houdt die gemeenschap in dat ‘de gelovigen </w:t>
      </w:r>
      <w:r>
        <w:rPr>
          <w:i/>
          <w:sz w:val="24"/>
        </w:rPr>
        <w:t>allen en een ieder</w:t>
      </w:r>
      <w:r>
        <w:rPr>
          <w:sz w:val="24"/>
        </w:rPr>
        <w:t xml:space="preserve"> als leden aan de Heere Christus en al Zijn schatten en gaven gemeenschap </w:t>
      </w:r>
      <w:r>
        <w:rPr>
          <w:sz w:val="24"/>
        </w:rPr>
        <w:lastRenderedPageBreak/>
        <w:t>hebben</w:t>
      </w:r>
      <w:r w:rsidR="006A4F58">
        <w:rPr>
          <w:sz w:val="24"/>
        </w:rPr>
        <w:t>’. En dat ieder van hen ‘zich schuldig moet weten om zijn gaven ten nutte en ter zaligheid van de andere leden gewillig en met vreugde aanwenden</w:t>
      </w:r>
      <w:r>
        <w:rPr>
          <w:sz w:val="24"/>
        </w:rPr>
        <w:t>’.</w:t>
      </w:r>
      <w:r w:rsidR="006A4F58">
        <w:rPr>
          <w:sz w:val="24"/>
        </w:rPr>
        <w:t xml:space="preserve"> </w:t>
      </w:r>
    </w:p>
    <w:p w14:paraId="6400C8F7" w14:textId="77777777" w:rsidR="0092405F" w:rsidRDefault="006A4F58" w:rsidP="003E1788">
      <w:pPr>
        <w:rPr>
          <w:sz w:val="24"/>
        </w:rPr>
      </w:pPr>
      <w:r>
        <w:rPr>
          <w:sz w:val="24"/>
        </w:rPr>
        <w:t xml:space="preserve">U ziet: al de heiligen, ze hebben elkaar nodig. Ze maken die ene gemeenschap uit. En </w:t>
      </w:r>
      <w:r w:rsidRPr="006A4F58">
        <w:rPr>
          <w:i/>
          <w:sz w:val="24"/>
        </w:rPr>
        <w:t>met</w:t>
      </w:r>
      <w:r>
        <w:rPr>
          <w:sz w:val="24"/>
        </w:rPr>
        <w:t xml:space="preserve"> </w:t>
      </w:r>
      <w:r w:rsidRPr="006A4F58">
        <w:rPr>
          <w:i/>
          <w:sz w:val="24"/>
        </w:rPr>
        <w:t>elkaar</w:t>
      </w:r>
      <w:r>
        <w:rPr>
          <w:sz w:val="24"/>
        </w:rPr>
        <w:t xml:space="preserve"> – zo beseft Paulus – verstaan ze liefde en de wijsheid van God in Christus. Daarvoor kunnen ze niet </w:t>
      </w:r>
      <w:r w:rsidRPr="006A4F58">
        <w:rPr>
          <w:i/>
          <w:sz w:val="24"/>
        </w:rPr>
        <w:t>zonder</w:t>
      </w:r>
      <w:r>
        <w:rPr>
          <w:sz w:val="24"/>
        </w:rPr>
        <w:t xml:space="preserve"> elkaar. </w:t>
      </w:r>
      <w:r w:rsidR="0092405F">
        <w:rPr>
          <w:sz w:val="24"/>
        </w:rPr>
        <w:t xml:space="preserve"> </w:t>
      </w:r>
    </w:p>
    <w:p w14:paraId="0D2AA8DD" w14:textId="77777777" w:rsidR="006A4F58" w:rsidRDefault="006A4F58" w:rsidP="003E1788">
      <w:pPr>
        <w:rPr>
          <w:sz w:val="24"/>
        </w:rPr>
      </w:pPr>
      <w:r>
        <w:rPr>
          <w:sz w:val="24"/>
        </w:rPr>
        <w:t>En weet u: dat komt op een bepaalde manier ook tot uiting in de liturgie. Wij geven de eredienst – als het goed is – maar wat vorm, op een manier die ons mooi of vertrouwd voorkomt. De dingen die er gebeuren of gedaan worden, gebeuren niet ‘zomaar’  en worden niet ‘zomaar’ gedaan. En wat gezegd wordt of gezongen, wordt niet zomaar gezegd of gezongen. Nee, in de liturgie voegt de gemeente hier en nu zich in die gemeenschap… In die gemeenschap van de kerk der eeuwen. Om ‘met al de heiligen’ iets te verstaan van de rijkdom van Gods grote daden.</w:t>
      </w:r>
    </w:p>
    <w:p w14:paraId="389CE6CD" w14:textId="77777777" w:rsidR="002A56C9" w:rsidRDefault="006A4F58" w:rsidP="003E1788">
      <w:pPr>
        <w:rPr>
          <w:sz w:val="24"/>
        </w:rPr>
      </w:pPr>
      <w:r>
        <w:rPr>
          <w:sz w:val="24"/>
        </w:rPr>
        <w:t xml:space="preserve">Ik wijs kort enkele momenten aan. Niet zozeer met de hoop u te verassen. Misschien doet het dat wel. Maar meer met het doel dat we de eredienst met andere ogen zullen bezien; en ook anders zullen </w:t>
      </w:r>
      <w:r w:rsidRPr="006A4F58">
        <w:rPr>
          <w:i/>
          <w:sz w:val="24"/>
        </w:rPr>
        <w:t>beleven</w:t>
      </w:r>
      <w:r>
        <w:rPr>
          <w:sz w:val="24"/>
        </w:rPr>
        <w:t xml:space="preserve">. Niet maar als iets van ‘hier en nu’ </w:t>
      </w:r>
      <w:r w:rsidRPr="006A4F58">
        <w:rPr>
          <w:i/>
          <w:sz w:val="24"/>
        </w:rPr>
        <w:t>alleen</w:t>
      </w:r>
      <w:r>
        <w:rPr>
          <w:sz w:val="24"/>
        </w:rPr>
        <w:t xml:space="preserve">. Nee, als een moment in het geheel van de gang die de kerk der eeuwen gaat. Dan blijkt de eredienst van nu plots een verband te hebben met de synagoge, de </w:t>
      </w:r>
      <w:r w:rsidR="002A56C9">
        <w:rPr>
          <w:sz w:val="24"/>
        </w:rPr>
        <w:t>nieuwtestamentische</w:t>
      </w:r>
      <w:r>
        <w:rPr>
          <w:sz w:val="24"/>
        </w:rPr>
        <w:t xml:space="preserve"> gemeente, de Vroege Kerk</w:t>
      </w:r>
      <w:r w:rsidR="002A56C9">
        <w:rPr>
          <w:sz w:val="24"/>
        </w:rPr>
        <w:t xml:space="preserve">, Augustinus, Genève, Londen, De Palz. Met al de heiligen. </w:t>
      </w:r>
    </w:p>
    <w:p w14:paraId="764F0902" w14:textId="77777777" w:rsidR="002A56C9" w:rsidRDefault="002A56C9" w:rsidP="003E1788">
      <w:pPr>
        <w:rPr>
          <w:sz w:val="24"/>
        </w:rPr>
      </w:pPr>
      <w:r>
        <w:rPr>
          <w:sz w:val="24"/>
        </w:rPr>
        <w:t xml:space="preserve">De ordening van de 150 psalmen bijvoorbeeld, zoals wij die kennen, is ontstaan uit de praktijk van het psalmzingen in de synagoge, afgestemd op de drie jaar durende doorgaande lezing uit de Thora, de vijf boeken van Mozes. Ook de inrichting van de dienst in de synagoge maakt duidelijk dat hier de wortels liggen van de christelijke liturgie. </w:t>
      </w:r>
    </w:p>
    <w:p w14:paraId="511976F4" w14:textId="77777777" w:rsidR="002A56C9" w:rsidRDefault="002A56C9" w:rsidP="003E1788">
      <w:pPr>
        <w:rPr>
          <w:sz w:val="24"/>
        </w:rPr>
      </w:pPr>
      <w:r>
        <w:rPr>
          <w:sz w:val="24"/>
        </w:rPr>
        <w:t xml:space="preserve">De liturgie van bijvoorbeeld Augustinus borduurt duidelijk voort op die van de synagoge. Lezingen, Psalmgezang, gebeden, prediking. En als de reformatie theologisch teruggrijpt op de Vroege Kerk, en met name Augustinus, dan is het niet vreemd dat er ook in de ordening van de eredienst sporen uit die vroege eeuwen te vinden zijn. </w:t>
      </w:r>
    </w:p>
    <w:p w14:paraId="58F557C4" w14:textId="77777777" w:rsidR="00701B70" w:rsidRDefault="002A56C9" w:rsidP="003E1788">
      <w:pPr>
        <w:rPr>
          <w:sz w:val="24"/>
        </w:rPr>
      </w:pPr>
      <w:r>
        <w:rPr>
          <w:sz w:val="24"/>
        </w:rPr>
        <w:t xml:space="preserve">Enkele concretere voorbeelden. </w:t>
      </w:r>
      <w:r w:rsidR="00701B70">
        <w:rPr>
          <w:sz w:val="24"/>
        </w:rPr>
        <w:t xml:space="preserve">Neem u een doopdienst in gedachten. </w:t>
      </w:r>
      <w:r w:rsidR="006A4F58">
        <w:rPr>
          <w:sz w:val="24"/>
        </w:rPr>
        <w:t xml:space="preserve"> </w:t>
      </w:r>
      <w:r w:rsidR="00701B70">
        <w:rPr>
          <w:sz w:val="24"/>
        </w:rPr>
        <w:t xml:space="preserve">Het formulier wordt gelezen. Bedacht u wel eens dat er op dat moment allerlei stemmen uit het verleden in de kerk klinken? Het formulier komt oorspronkelijk uit de Palz. Het is van de hand van Ursinus en Olevianus; inderdaad, de schrijvers van de Catechismus. Maar…, zij bedachten de hele tekst ook niet zelf. Zij ontleenden materiaal aan Genève (Calvijn) en aan de </w:t>
      </w:r>
      <w:r w:rsidR="00701B70">
        <w:rPr>
          <w:i/>
          <w:sz w:val="24"/>
        </w:rPr>
        <w:t xml:space="preserve">Christelijke Ordinantiën </w:t>
      </w:r>
      <w:r w:rsidR="00701B70">
        <w:rPr>
          <w:sz w:val="24"/>
        </w:rPr>
        <w:t xml:space="preserve">van Micron, die de vluchtelingengemeente van Londen diende. </w:t>
      </w:r>
    </w:p>
    <w:p w14:paraId="5734CDF9" w14:textId="77777777" w:rsidR="0070771E" w:rsidRDefault="00701B70" w:rsidP="003E1788">
      <w:pPr>
        <w:rPr>
          <w:sz w:val="24"/>
        </w:rPr>
      </w:pPr>
      <w:r>
        <w:rPr>
          <w:sz w:val="24"/>
        </w:rPr>
        <w:t xml:space="preserve">Neem u zich een trouwdienst voor de geest. Het formulier dat we lezen in de dienst, is een letterlijk vertaling van het formulier dat Calvijn zelf voor de gemeente te Genève schreef. </w:t>
      </w:r>
    </w:p>
    <w:p w14:paraId="1FCEA625" w14:textId="77777777" w:rsidR="006A4F58" w:rsidRDefault="0070771E" w:rsidP="003E1788">
      <w:pPr>
        <w:rPr>
          <w:sz w:val="24"/>
        </w:rPr>
      </w:pPr>
      <w:r>
        <w:rPr>
          <w:sz w:val="24"/>
        </w:rPr>
        <w:t xml:space="preserve">Of wat dacht u van het Heilig Avondmaal. Opnieuw: het formulier is van de hand van Olevianus, die ook in dit formulier andere theologen citeert. De bekende woorden: ‘Neem </w:t>
      </w:r>
      <w:r>
        <w:rPr>
          <w:sz w:val="24"/>
        </w:rPr>
        <w:lastRenderedPageBreak/>
        <w:t xml:space="preserve">eet, gedenkt het gelooft…’ zijn toegevoegd op last van de synoden van 1574, 1578 en 1581. De woorden die ons vermanen om niet aan het teken te blijven hangen, maar de harten opwaarts te verheffen, zijn ontleend aan de vroegste christenen. In de eerste eeuwen sprak de bisschop kort voor de avondmaalsbediening: ‘sursum corda!’: verheft de harten! </w:t>
      </w:r>
      <w:r w:rsidR="006720AB">
        <w:rPr>
          <w:sz w:val="24"/>
        </w:rPr>
        <w:t>De formulering van de groet aan het begin van de dienst gaat terug op een Nederlandse synod</w:t>
      </w:r>
      <w:r>
        <w:rPr>
          <w:sz w:val="24"/>
        </w:rPr>
        <w:t>e uit het einde van de 17 eeuw.</w:t>
      </w:r>
      <w:r w:rsidR="006A4F58">
        <w:rPr>
          <w:sz w:val="24"/>
        </w:rPr>
        <w:t xml:space="preserve">   </w:t>
      </w:r>
    </w:p>
    <w:p w14:paraId="55C8A75E" w14:textId="77777777" w:rsidR="0070771E" w:rsidRDefault="0070771E" w:rsidP="003E1788">
      <w:pPr>
        <w:rPr>
          <w:sz w:val="24"/>
        </w:rPr>
      </w:pPr>
      <w:r>
        <w:rPr>
          <w:sz w:val="24"/>
        </w:rPr>
        <w:t xml:space="preserve">En… zo kunnen we nog een tijd doorgaan. In al die bekende woorden, klinken zoveel stemmen… Van alle tijden. Stemmen die spreken namens </w:t>
      </w:r>
      <w:r>
        <w:rPr>
          <w:i/>
          <w:sz w:val="24"/>
        </w:rPr>
        <w:t>al de heiligen</w:t>
      </w:r>
      <w:r>
        <w:rPr>
          <w:sz w:val="24"/>
        </w:rPr>
        <w:t xml:space="preserve">. Als wij die woorden opnieuw tot klinken brengen, die woorden in de mond nemen, voegen we ons in hun gemeenschap. In elk geval wat de vorm betreft. </w:t>
      </w:r>
    </w:p>
    <w:p w14:paraId="0DC99765" w14:textId="77777777" w:rsidR="0070771E" w:rsidRPr="0070771E" w:rsidRDefault="0070771E" w:rsidP="003E1788">
      <w:pPr>
        <w:rPr>
          <w:sz w:val="24"/>
        </w:rPr>
      </w:pPr>
      <w:r>
        <w:rPr>
          <w:sz w:val="24"/>
        </w:rPr>
        <w:t xml:space="preserve">Ik hoop dat u nog eens met andere ogen wilt kijken, en met andere oren luisteren. De dienst door. Niet alleen om ons uiterlijk te voegen in de gemeenschap van de kerk der eeuwen. Maar ook om hen </w:t>
      </w:r>
      <w:r w:rsidRPr="0070771E">
        <w:rPr>
          <w:i/>
          <w:sz w:val="24"/>
        </w:rPr>
        <w:t>van harte</w:t>
      </w:r>
      <w:r>
        <w:rPr>
          <w:sz w:val="24"/>
        </w:rPr>
        <w:t xml:space="preserve"> te verstaan. En met hen samen – met al de heiligen – de verstaan de liefde Gods en de wijsheid Gods, in Christus. </w:t>
      </w:r>
    </w:p>
    <w:p w14:paraId="09C1B3CB" w14:textId="77777777" w:rsidR="00B316A9" w:rsidRPr="00B316A9" w:rsidRDefault="00B316A9" w:rsidP="003E1788">
      <w:pPr>
        <w:rPr>
          <w:sz w:val="24"/>
        </w:rPr>
      </w:pPr>
    </w:p>
    <w:p w14:paraId="671B2BC4" w14:textId="77777777" w:rsidR="00B316A9" w:rsidRPr="00B316A9" w:rsidRDefault="00B316A9" w:rsidP="003E1788">
      <w:pPr>
        <w:rPr>
          <w:sz w:val="24"/>
        </w:rPr>
      </w:pPr>
    </w:p>
    <w:p w14:paraId="186AE0D0" w14:textId="77777777" w:rsidR="003E1788" w:rsidRPr="00B316A9" w:rsidRDefault="003E1788">
      <w:pPr>
        <w:rPr>
          <w:sz w:val="24"/>
        </w:rPr>
      </w:pPr>
    </w:p>
    <w:sectPr w:rsidR="003E1788" w:rsidRPr="00B316A9" w:rsidSect="00701B7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249F3E" w14:textId="77777777" w:rsidR="00175342" w:rsidRDefault="00175342" w:rsidP="00B316A9">
      <w:pPr>
        <w:spacing w:after="0" w:line="240" w:lineRule="auto"/>
      </w:pPr>
      <w:r>
        <w:separator/>
      </w:r>
    </w:p>
  </w:endnote>
  <w:endnote w:type="continuationSeparator" w:id="0">
    <w:p w14:paraId="6A09534F" w14:textId="77777777" w:rsidR="00175342" w:rsidRDefault="00175342" w:rsidP="00B31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3930930"/>
      <w:docPartObj>
        <w:docPartGallery w:val="Page Numbers (Bottom of Page)"/>
        <w:docPartUnique/>
      </w:docPartObj>
    </w:sdtPr>
    <w:sdtEndPr/>
    <w:sdtContent>
      <w:p w14:paraId="31BDCDAC" w14:textId="77777777" w:rsidR="00B316A9" w:rsidRDefault="00B316A9">
        <w:pPr>
          <w:pStyle w:val="Voettekst"/>
        </w:pPr>
        <w:r>
          <w:rPr>
            <w:noProof/>
            <w:lang w:eastAsia="nl-NL"/>
          </w:rPr>
          <mc:AlternateContent>
            <mc:Choice Requires="wps">
              <w:drawing>
                <wp:anchor distT="0" distB="0" distL="114300" distR="114300" simplePos="0" relativeHeight="251659264" behindDoc="0" locked="0" layoutInCell="1" allowOverlap="1" wp14:anchorId="6F11E070" wp14:editId="1BDC0A8C">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38D5906" w14:textId="77777777" w:rsidR="00B316A9" w:rsidRPr="00B316A9" w:rsidRDefault="00B316A9">
                              <w:pPr>
                                <w:pBdr>
                                  <w:top w:val="single" w:sz="4" w:space="1" w:color="7F7F7F" w:themeColor="background1" w:themeShade="7F"/>
                                </w:pBdr>
                                <w:jc w:val="center"/>
                                <w:rPr>
                                  <w:color w:val="C0504D" w:themeColor="accent2"/>
                                  <w:sz w:val="24"/>
                                </w:rPr>
                              </w:pPr>
                              <w:r w:rsidRPr="00B316A9">
                                <w:rPr>
                                  <w:sz w:val="24"/>
                                </w:rPr>
                                <w:fldChar w:fldCharType="begin"/>
                              </w:r>
                              <w:r w:rsidRPr="00B316A9">
                                <w:rPr>
                                  <w:sz w:val="24"/>
                                </w:rPr>
                                <w:instrText>PAGE   \* MERGEFORMAT</w:instrText>
                              </w:r>
                              <w:r w:rsidRPr="00B316A9">
                                <w:rPr>
                                  <w:sz w:val="24"/>
                                </w:rPr>
                                <w:fldChar w:fldCharType="separate"/>
                              </w:r>
                              <w:r w:rsidR="00166399" w:rsidRPr="00166399">
                                <w:rPr>
                                  <w:noProof/>
                                  <w:color w:val="C0504D" w:themeColor="accent2"/>
                                  <w:sz w:val="24"/>
                                </w:rPr>
                                <w:t>1</w:t>
                              </w:r>
                              <w:r w:rsidRPr="00B316A9">
                                <w:rPr>
                                  <w:color w:val="C0504D" w:themeColor="accent2"/>
                                  <w:sz w:val="24"/>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F11E070" id="Rechthoe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filled="f" fillcolor="#c0504d" stroked="f" strokecolor="#5c83b4" strokeweight="2.25pt">
                  <v:textbox inset=",0,,0">
                    <w:txbxContent>
                      <w:p w14:paraId="638D5906" w14:textId="77777777" w:rsidR="00B316A9" w:rsidRPr="00B316A9" w:rsidRDefault="00B316A9">
                        <w:pPr>
                          <w:pBdr>
                            <w:top w:val="single" w:sz="4" w:space="1" w:color="7F7F7F" w:themeColor="background1" w:themeShade="7F"/>
                          </w:pBdr>
                          <w:jc w:val="center"/>
                          <w:rPr>
                            <w:color w:val="C0504D" w:themeColor="accent2"/>
                            <w:sz w:val="24"/>
                          </w:rPr>
                        </w:pPr>
                        <w:r w:rsidRPr="00B316A9">
                          <w:rPr>
                            <w:sz w:val="24"/>
                          </w:rPr>
                          <w:fldChar w:fldCharType="begin"/>
                        </w:r>
                        <w:r w:rsidRPr="00B316A9">
                          <w:rPr>
                            <w:sz w:val="24"/>
                          </w:rPr>
                          <w:instrText>PAGE   \* MERGEFORMAT</w:instrText>
                        </w:r>
                        <w:r w:rsidRPr="00B316A9">
                          <w:rPr>
                            <w:sz w:val="24"/>
                          </w:rPr>
                          <w:fldChar w:fldCharType="separate"/>
                        </w:r>
                        <w:r w:rsidR="00166399" w:rsidRPr="00166399">
                          <w:rPr>
                            <w:noProof/>
                            <w:color w:val="C0504D" w:themeColor="accent2"/>
                            <w:sz w:val="24"/>
                          </w:rPr>
                          <w:t>1</w:t>
                        </w:r>
                        <w:r w:rsidRPr="00B316A9">
                          <w:rPr>
                            <w:color w:val="C0504D" w:themeColor="accent2"/>
                            <w:sz w:val="24"/>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F4089" w14:textId="77777777" w:rsidR="00175342" w:rsidRDefault="00175342" w:rsidP="00B316A9">
      <w:pPr>
        <w:spacing w:after="0" w:line="240" w:lineRule="auto"/>
      </w:pPr>
      <w:r>
        <w:separator/>
      </w:r>
    </w:p>
  </w:footnote>
  <w:footnote w:type="continuationSeparator" w:id="0">
    <w:p w14:paraId="5FFDB389" w14:textId="77777777" w:rsidR="00175342" w:rsidRDefault="00175342" w:rsidP="00B316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D7E65"/>
    <w:multiLevelType w:val="hybridMultilevel"/>
    <w:tmpl w:val="0A549DA6"/>
    <w:lvl w:ilvl="0" w:tplc="19D8CBB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788"/>
    <w:rsid w:val="00166399"/>
    <w:rsid w:val="00175342"/>
    <w:rsid w:val="001F4673"/>
    <w:rsid w:val="002A56C9"/>
    <w:rsid w:val="003E1788"/>
    <w:rsid w:val="003E1D44"/>
    <w:rsid w:val="006720AB"/>
    <w:rsid w:val="006A4F58"/>
    <w:rsid w:val="00701B70"/>
    <w:rsid w:val="0070771E"/>
    <w:rsid w:val="007F7186"/>
    <w:rsid w:val="0092405F"/>
    <w:rsid w:val="00B316A9"/>
    <w:rsid w:val="00D61370"/>
    <w:rsid w:val="00F120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715B7"/>
  <w15:docId w15:val="{80C1C015-FD84-4574-95E1-953A1679B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E1788"/>
    <w:pPr>
      <w:ind w:left="720"/>
      <w:contextualSpacing/>
    </w:pPr>
  </w:style>
  <w:style w:type="paragraph" w:styleId="Koptekst">
    <w:name w:val="header"/>
    <w:basedOn w:val="Standaard"/>
    <w:link w:val="KoptekstChar"/>
    <w:uiPriority w:val="99"/>
    <w:unhideWhenUsed/>
    <w:rsid w:val="00B316A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316A9"/>
  </w:style>
  <w:style w:type="paragraph" w:styleId="Voettekst">
    <w:name w:val="footer"/>
    <w:basedOn w:val="Standaard"/>
    <w:link w:val="VoettekstChar"/>
    <w:uiPriority w:val="99"/>
    <w:unhideWhenUsed/>
    <w:rsid w:val="00B316A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31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61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996</Words>
  <Characters>5483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 Hoek</dc:creator>
  <cp:lastModifiedBy>Henri en Henriët Pool</cp:lastModifiedBy>
  <cp:revision>3</cp:revision>
  <dcterms:created xsi:type="dcterms:W3CDTF">2016-01-18T21:43:00Z</dcterms:created>
  <dcterms:modified xsi:type="dcterms:W3CDTF">2016-01-20T22:23:00Z</dcterms:modified>
</cp:coreProperties>
</file>